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77" w:rsidRPr="003D1A6B" w:rsidRDefault="00EA4077">
      <w:pPr>
        <w:rPr>
          <w:rFonts w:ascii="Times New Roman" w:hAnsi="Times New Roman" w:cs="Times New Roman"/>
          <w:sz w:val="28"/>
          <w:szCs w:val="28"/>
        </w:rPr>
      </w:pPr>
    </w:p>
    <w:p w:rsidR="00EA4077" w:rsidRPr="003D1A6B" w:rsidRDefault="00EA4077" w:rsidP="00EA4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A6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...Высота 1771 - конкурент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Куршевеля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...</w:t>
      </w:r>
    </w:p>
    <w:p w:rsidR="00EA4077" w:rsidRPr="003D1A6B" w:rsidRDefault="00EA4077" w:rsidP="00EA4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AFBFF"/>
        </w:rPr>
        <w:t>Правительство РФ приняло решение о создании особых экономических зон</w:t>
      </w:r>
    </w:p>
    <w:p w:rsidR="00EA4077" w:rsidRPr="003D1A6B" w:rsidRDefault="00EA4077" w:rsidP="00EA40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</w:rPr>
        <w:t>18 января 2007 г. в Москве прошло поистине историческое для Бурятии заседание Правительства Российской Федерации, на котором было принято Постановление о создании в России семи особых экономических зон туристско-рекреационного типа</w:t>
      </w:r>
    </w:p>
    <w:p w:rsidR="00EA4077" w:rsidRPr="003D1A6B" w:rsidRDefault="00EA4077" w:rsidP="00EA40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Необходимо отметить, что из семи утвержденных на заседании Правительства РФ проектов по созданию особых экономических зон туристско-рекреационного типа проект, разработанный и представленный Министерством экономического развития и внешних связей Республики Бурятия, является одним из самых больших по капитальным вложениям до полного завершения всех работ в 2026 году – 57,06 миллиарда рублей. Для сравнения: на создание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турзоны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в соседней Иркутской области потребуется 15,04 миллиарда рублей, в Алтайском крае – 10,47 миллиарда рублей.</w:t>
      </w:r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br/>
        <w:t xml:space="preserve">В заседании Правительства РФ приняли участие губернаторы тех регионов, где будут располагаться туристско-рекреационные зоны, в том числе Президент Республики Бурятия Леонид Потапов. </w:t>
      </w:r>
    </w:p>
    <w:p w:rsidR="00EA4077" w:rsidRPr="003D1A6B" w:rsidRDefault="00EA4077" w:rsidP="00EA40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Для выбора места будущей туристско-рекреационной зоны министерство экономического развития Бурятии привлекло на конкурсной основе российскую компанию ЗАО “ЭКТРИС” и международного эксперта - компанию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Ecosign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Mountain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Resort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Planners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Ltd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(“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Экосайн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”). На счету этой канадской фирмы проектирование более 200 горнолыжных курортов мира.</w:t>
      </w:r>
    </w:p>
    <w:p w:rsidR="00EA4077" w:rsidRPr="003D1A6B" w:rsidRDefault="00EA4077" w:rsidP="00EA40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По заключению канадцев, гора, которая условно именуется “Вершиной 1771”, имеет огромный потенциал и при известном старании может быть развита в крупнейший в мире курорт, обслуживающий в день более 100 тысяч человек. </w:t>
      </w:r>
    </w:p>
    <w:p w:rsidR="00EA4077" w:rsidRPr="003D1A6B" w:rsidRDefault="00EA4077" w:rsidP="00EA40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Как указывают специалисты компании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Ecosign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Mountain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Resort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Planners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Ltd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, в настоящее время статус крупнейшего в мире </w:t>
      </w:r>
      <w:proofErr w:type="spellStart"/>
      <w:proofErr w:type="gram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горно-лыжного</w:t>
      </w:r>
      <w:proofErr w:type="spellEnd"/>
      <w:proofErr w:type="gram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курорта имеет курорт “Три Долины” (“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Мерибель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”, “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Куршевель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” и “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Валь-Торанс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”) во Франции, обслуживающий ежедневно 55 тысяч туристов. “Вершина 1771” обладает </w:t>
      </w:r>
      <w:proofErr w:type="gram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значительно большим</w:t>
      </w:r>
      <w:proofErr w:type="gram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количеством спусков и может быть использована для катания со всех сторон. Потенциал ее вдвое превышает возможности </w:t>
      </w:r>
      <w:proofErr w:type="gram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знаменитого</w:t>
      </w:r>
      <w:proofErr w:type="gram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Куршевеля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 xml:space="preserve">. Первый снег здесь появляется ранней осенью и лежит до начала июня. Благодаря своему местоположению (в небольшом удалении от Байкала и в непосредственной близости от озера </w:t>
      </w:r>
      <w:proofErr w:type="spellStart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Котокель</w:t>
      </w:r>
      <w:proofErr w:type="spellEnd"/>
      <w:r w:rsidRPr="003D1A6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AFBFF"/>
        </w:rPr>
        <w:t>) гора окружена уникальным микроклиматом. Достаточно сказать, что здесь всегда много снега, а температура воздуха не опускается ниже минус 16-18 градусов по Цельсию.</w:t>
      </w:r>
    </w:p>
    <w:p w:rsidR="00EA4077" w:rsidRPr="003D1A6B" w:rsidRDefault="00EA4077" w:rsidP="00EA40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  <w:t> </w:t>
      </w:r>
    </w:p>
    <w:p w:rsidR="003D1A6B" w:rsidRDefault="003D1A6B" w:rsidP="00EA4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shd w:val="clear" w:color="auto" w:fill="FAFBFF"/>
        </w:rPr>
      </w:pPr>
    </w:p>
    <w:p w:rsidR="003D1A6B" w:rsidRDefault="003D1A6B" w:rsidP="00EA4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shd w:val="clear" w:color="auto" w:fill="FAFBFF"/>
        </w:rPr>
      </w:pPr>
    </w:p>
    <w:p w:rsidR="003D1A6B" w:rsidRDefault="003D1A6B" w:rsidP="00EA4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shd w:val="clear" w:color="auto" w:fill="FAFBFF"/>
        </w:rPr>
      </w:pPr>
    </w:p>
    <w:p w:rsidR="00EA4077" w:rsidRPr="001E3143" w:rsidRDefault="00EA4077" w:rsidP="00EA4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1E314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AFBFF"/>
        </w:rPr>
        <w:lastRenderedPageBreak/>
        <w:t>Прибайкальская особая экономическая зона</w:t>
      </w:r>
    </w:p>
    <w:p w:rsidR="00EA4077" w:rsidRPr="001E3143" w:rsidRDefault="00EA4077" w:rsidP="00EA4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1E314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AFBFF"/>
        </w:rPr>
        <w:t>туристско-рекреационного типа</w:t>
      </w:r>
    </w:p>
    <w:p w:rsidR="00EA4077" w:rsidRPr="003D1A6B" w:rsidRDefault="00EA4077" w:rsidP="00EA40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Опубликована концепция создания туристско-рекреационной особой экономической зоны в Бурятии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Основные параметры развития туризма в Республике Бурятия изложены в докладе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МЭРиВС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РБ «Туристско-рекреационная особая экономическая зона – достойная оправа для бриллианта Сибири», который был подготовлен к заседанию конкурсной комиссии в Москве. Цель создания зоны связана с российскими приоритетами в части интеграции России в мировые туристские рынки на основе повышения конкурентоспособности туристского и санаторно-курортного российского продукта и их перевода на инновационный путь развития. Для достижения поставленной цели правительством Республики Бурятия определены  две стратегические  задачи: во-первых, создание конкурентного на мировом рынке туристского продукта; во-вторых, обеспечение условий для его продвижения на основе развитой инфраструктуры и государственно-частного партнерства.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Туризм в Республике Бурятия является основной отраслью экономики, адаптированной к условиям особого режима хозяйственной деятельности на Байкальской природной территории. Наша задача  - на Байкале создать новый центр  мирового туризма.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Создание особой экономической зоны с самого начала рассматривается правительством как одно из необходимых условий формирования мощного туристического кластера. Правительство Бурятии рассматривало кластерные подходы развития экономики с начала 2000-х годов, в среднесрочных программах развития на 2002-2004 годы, 2005-2007 годы. Проведена работа по выявлению и ранжированию потенциальных кластеров республики, при этом корневым определен кластер «Туризм», который поведет за собой обеспечивающие: «Пищевой», «Восточная медицина», «Рыба», «Строительный».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ОЭЗ «Байкальская гавань» должна стать тем ядром кластера, которое активизирует развитие туризма на всей Байкальской природной территории, поднимет качество туристских услуг на международный уровень.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Именно местоположение, инфраструктура и богатейшие ресурсы этого участка как нельзя лучше отвечают этим требованиям. Уже сейчас по заказу Правительства Республики Бурятия компанией «Бауман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Инновейшн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» выполняется работа по разработке механизма практического применения кластерного подхода в развитии туризма.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Основание для выбора территории ОЭЗ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Проектируемая ОЭЗ расположена на восточном побережье озера Байкал в муниципальном образовании Прибайкальского района Республики Бурятия и занимает площадь 700 кв. км, что составляет  1% площади Участка мирового наследия.  Прибайкальский район находится в центральной части Байкальской природной территории. В Республике Бурятия </w:t>
      </w: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lastRenderedPageBreak/>
        <w:t>достаточно  уникальных и интересных мест для развития туризма. Вместе с тем, выбор территории ОЭЗ обусловлен поставленными целями, задачами и  следующими факторами: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Транспортная доступность и удобное географическое положение:</w:t>
      </w: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расстояние до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г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. Улан-Удэ, в котором расположен международный аэропорт, составляет 120 километров, а это 1-1.5 часа езды автотранспортом или 30 минут полета до местного аэропорта Горячинск. На территории республики работают три пограничных перехода с Монголией: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Алтан-Була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г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(</w:t>
      </w:r>
      <w:proofErr w:type="spellStart"/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Кяхтинский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район),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Монды-Ханх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(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Тункинский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район),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Айн-гол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(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Закаменский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район) для туристов, прибывающих из стран Северо-Восточной Азии. Это открывает возможность  увеличения экспортного российского потенциала туристских услуг  для стран Северо-Восточной Азии и для наших соседей иркутян. И самое главное – усиливает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геостратегическое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положение России в приграничных территориях.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Благоприятные природно-климатические условия</w:t>
      </w: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.  Говоря о Сибири, говорят о ее суровой зиме, коротком лете. Однако на территории ОЭЗ - особый микроклимат:  жаркое лето, мягкая зима (дневная температура в январе составляет 18 градусов, скорость ветра 2-3 метра в секунду, большое количество снега). Среднегодовая температура 0 - +1 градус. Таким образом, 6 месяцев в году погодные условия благоприятны для занятий горнолыжным спортом, и только месяц в году – температура ниже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допустимой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Совпадение точек зрения по выбору территории зоны.</w:t>
      </w: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Данная территория как наиболее перспективная для развития туризма была выбрана международными экспертами в области проектирования горнолыжных курортов – канадской компанией «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Экосайн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». При этом более 20 лет назад Госпланом России была разработана генеральная схема развития производительных сил в бассейне озера Байкал,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в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которой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Байкало-Котокельская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территория определена приоритетной для развития туризма. Сама история  подтвердила  правильность этого выбора.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Уникальный и богатый природно-ресурсный потенциал. </w:t>
      </w: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Именно на выбранной территории имеются все необходимые ресурсы для создания всесезонного развития туризма мирового уровня на основе кластерного подхода: это и Байкал, горы, минеральные и термальные  источники, реки, лечебные грязи, богатая флора и фауна, этнокультурные особенности народов, населяющих этот район. И самый главный объект – горная вершина 1771, которая имеет большой потенциал застройки и может быть развита  в один из крупнейших в мире горнолыжный курорт. А это в свою очередь приведет к активному развитию таких видов туризма как: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спортивный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и приключенческий, рекреационный, водный, круизный, деловой, экскурсионный и экологический.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Из экспертных заключений канадской компании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Ecosign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Mountain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Resort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Planners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Ltd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: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«Мы исследовали  с аналогичными целями различные регионы России, такие как Кемеровская область,  Республика Карелия, Иркутская область, Алтай, Урал, Кавказ и можем с уверенностью сказать, что эта часть земли Бурятии обладает уникальными характеристиками…».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  <w:lastRenderedPageBreak/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 </w:t>
      </w: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Описание </w:t>
      </w:r>
      <w:proofErr w:type="gram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ТР</w:t>
      </w:r>
      <w:proofErr w:type="gram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 ОЭЗ по участкам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Проектируемая ОЭЗ площадью 700 кв.км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.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с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остоит из трех участков: Южный (вершина 1771 м и прилегающая территория), Центральный (озеро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Котокельское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и прилегающая территория)  и Северный (вершина 1306 м и прибрежная территория от бухты Безымянная до мыса Каткова).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Относительное деление на участки предопределяет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этапность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и очередность ввода в действие объектов зоны.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Архитектурно-планировочное решение для ОЭЗ готовит в рамках разработки </w:t>
      </w:r>
      <w:proofErr w:type="spellStart"/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мастер-плана</w:t>
      </w:r>
      <w:proofErr w:type="spellEnd"/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канадская компания «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Экосайн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», который будет завершен в декабре 2006 г.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Южный участок.</w:t>
      </w: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Предполагается строительство всесезонного курорта мирового уровня с высокоразвитой инфраструктурой и  высокой плотностью застройки жилых зданий различных типов и классов, а также сооружений для разнообразных видов спорта и активного отдыха,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офисно-деловых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центров, торгово-развлекательных объектов на площади 525 га у подножия и на самой горе с высотой 1771 м.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Рядом с базовой территорией на площади 485 га  для летнего периода будет расположено гольф-поле полного размера.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Из экспертных заключений канадской компании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Ecosign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Mountain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Resort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Planners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Ltd</w:t>
      </w:r>
      <w:proofErr w:type="spellEnd"/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: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«Участок внутри планируемой Особой Экономической Зоны  "Байкал" в Республике Бурятия, который … условно именуется Вершина 1771, может быть развит в крупнейший в мире курорт, обслуживающий в день более 100 000 человек (при условии использования всей потенциальной территории).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В настоящее время крупнейшим горным курортом в мире считается курорт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Т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ри Долины (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Мерибель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/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Куршевель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/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Валь-Торанс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) во Франции, обслуживающий 55 000 катающихся в день.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Вистлер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/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Блаккомб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(Канада), место проведения Зимних Олимпийских Игр 2010 г. и крупнейший курорт в Северной Америке имеет потенциальную вместимость до 40 000 человек.  Крупнейший курорт США -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Вэйл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, Колорадо обслуживает до 23 000 человек в день».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Центральный участок </w:t>
      </w: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предполагает строительство центра водного туризма и отдыха на площади 240 га, связанный в единый туристско-рекреационный комплекс с горнолыжным курортом Южного участка. Площадка расположена на живописном берегу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оз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.К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отокельское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. В состав центра водного туризма и отдыха входят яхт-клуб, пирс-набережная, водно-оздоровительный комплекс крытого аквапарка, набережная-мол, спортивный зал с универсальным спортивным залом и др.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 xml:space="preserve">Северный участок </w:t>
      </w: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составляет 84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га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на котором предполагается строительство поля для гольфа морского курорта и учебного центра. У подножия горы 1306 м. На участке площадью около 70 га разместится горный курортный город для начинающих лыжников и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сноубордеров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среднего уровня подготовки.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lastRenderedPageBreak/>
        <w:t>Туристические объекты, построенные на всей территории зоны, будут в состоянии удовлетворять разнообразные запросы различных категорий и денежного достатка туристов. Предполагается строительство крупного центра SPA-терапии, бальнеологии и восточной  медицины, Центра  проведения международных спортивных соревнований и фестивалей.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Прибытие туристов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«Бурятия исключительно благоприятно расположена по отношении к быстро растущему азиатскому рынку туристских услуг. Если в Бурятии будет создана современная инфраструктура туризма и разработана правильная рекламная стратегия, то … на курортах Бурятии будет отдыхать значительная доля туристов из этих стран… Время полета от Пекина и Токио до Улан-Удэ составляет соответственно 2  и 3,5 часа», - отмечают аналитики российской компании «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Стратегика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» и эксперты канадской компании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Ecosign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Mountain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Resort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Planners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Ltd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Количество туристских прибытий к 2026 году составит 1,91 млн. человек, из которых от 20% до 40% составят иностранные туристы.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В первые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годы будут преобладать местные туристы и туристы из ближайших регионов России. По мере развития зоны туристическое предложение комплекса выйдет на мировой уровень и будет ориентироваться на иностранцев.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В этом году Республика Бурятия активно участвовала в крупных международных экономических форумах и выставках с целью продвижения  туристского продукта на российском и международных рынках.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Правительство Бурятии провело переговоры с Китаем, Японией, Кореей, Монголией и регионами Дальнего Востока России о  развитии ключевого туристического направления и объекта трансграничного маршрута «Восточное кольцо России» в Северо-Восточной Азии.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В Бурятии  будет отдыхать значительная доля туристов из стран Северо-Восточной Азии: Японии, Южной Кореи, Китая, Монголии.  В настоящее время емкость этих стран уже составляет более 300 млн. туристов в год.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Характеристика инфраструктуры и привлечение инвестиций на основе государственно-частного партнерства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Туристическая инфраструктура. Общая сумма инвестиций в объекты туристической инфраструктуры в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ТР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ОЭЗ составит 26,44 млрд. руб. Это строительство двух горнолыжных комплексов (56,4% всех средств), возведение гостиниц (37,1%), объектов развлечений (4,3%), общественного питания (2,3%). Финансирование строительства объектов туристической инфраструктуры будет осуществляться за счет средств резидентов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ТР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ОЭЗ.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Базовая инфраструктура включает на территории ОЭЗ строительство двух внутренних дорог длиной 20 и 30 км стоимостью 1,4 млрд.руб. Для приема туристов с близлежащих регионов и г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.У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лан-Удэ предусматривается восстановление аэропорта с. Горячинск. В поселках Гремячинск и Горячинск имеются вертолетные площадки, которые требуют реконструкции.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lastRenderedPageBreak/>
        <w:t>Также планируется восстановление морского порта в с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.Т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урка для восстановления морского пути для туристов, прибывающих  из Иркутской области . 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В виду недостатка мощностей на данной территории предполагается строительство новой ЛЭП (220 киловольт) с двумя подстанциями мощностью 40 и 30 Мегаватт. Теплоснабжение участка предусматривается с помощью электрических котлов и солнечных коллекторов за счет инвесторов с использованием нетрадиционных источников.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Водоснабжение и водоотведение будет осуществляться в соответствии с экологическими требованиями. Очистка будет производиться с помощью активированного угля (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биосорбирование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) и озонирования без применения хлора. Такая технология отвечает всем экологическим требованиям для Центральной экологической зоны озера Байкал.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Всего стоимость строительства базовой инфраструктуры составит порядка 7 млрд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.р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уб.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Для развития ОЭЗ необходимо дальнейшее развитие внешней инфраструктуры, которая  включает: удлинение взлетной полосы международного аэропорта г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.У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лан-Удэ «Мухино» и реконструкцию аэропорта. Аэропорт сможет принимать воздушные суда всех типов и увеличить пропускную способность до 1 миллиона пассажиров в год.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Реконструкция дороги Улан-Удэ-Курумкан предусмотрена ФЦП «Модернизация транспортной системы России» в течение 2006-2008 гг. Информационно-коммуникационная инфраструктура предполагает строительство оптоволоконной линии связи, развитие сотовой и микросотовой связи. Дополнительные затраты на строительство более мощной, не зависимой от действующих региональных сетевых компаний линии в последующем компенсируются  по следующим основаниям: появляется возможность создания независимой сетевой компании. Потребляемая мощность объектами на территории ОЭЗ (более 60 МВт) позволяет это сделать. При этом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энерготариф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для потребителей туристической зоны и близлежащих населенных пунктов будет снижен в 2-3 раза в сравнении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с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ныне действующим. Это особенно актуально в связи с проектируемой электрической схемой теплоснабжения; будет создана надежная база для развития электроснабжения расположенных севернее районов (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Баргузинского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и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Курумканского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) в целях развития туризма на этих территориях; будут снижены риски, связанные с участием в финансировании ОАО «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Бурятэнерго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».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Общий объем инвестиций в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ТР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ОЭЗ составит 57,3 млрд. руб. том числе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10,7% –федеральный бюджет, 5,3% республиканский, 0,2% местный бюджет. Остальные 83, 85%  – привлеченные инвестиции. Государственные инвестиции в размере 7 млрд. руб. будут направлены на создание транспортной и инженерной инфраструктуры, строительство объектов социальной инфраструктуры, частично на объекты информационно-коммуникационной инфраструктуры. Частные капиталовложения в объеме 48 млрд. руб. будут направлены в создание туристской инфраструктуры, </w:t>
      </w: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lastRenderedPageBreak/>
        <w:t xml:space="preserve">капитальный ремонт, в информационно-коммуникационную инфраструктуру, в реконструкцию 2 аэропортов.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Эффективность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Создание ОЭЗ позволит значительно увеличить долю секторов с высокой добавленной стоимостью в структуре экономики Бурятии. Вклад туризма в ВРП республики к 2026 г. увеличится в 10 раз и составит 6,4%, вклад смежных отраслей – в 24 раза и 26,4%, соответственно.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Развитие туристического и смежных секторов экономики обеспечит значительное увеличение объема ежегодных поступлений в бюджеты всех уровней от деятельности резидентов и обслуживающих их региональных компаний.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Согласно прогнозам, совокупные налоговые поступления от туристического сектора и смежных отраслей к 2026 г. составят 12,5 млрд. руб. в год, суммарный объем налоговых поступлений – 89,3 млрд. руб.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Окупаемость инвестиций федерального бюджета составляет 8 лет. Окупаемость инвестиций республиканского бюджета составляет 10 лет. Окупаемость инвестиций местного бюджета составит 5 лет.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 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b/>
          <w:bCs/>
          <w:color w:val="000093"/>
          <w:sz w:val="28"/>
          <w:szCs w:val="28"/>
          <w:shd w:val="clear" w:color="auto" w:fill="FAFBFF"/>
        </w:rPr>
        <w:t>Рабочие места (социальный эффект)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ОЭЗ – это создание новых рабочих мест в высокодоходном секторе экономики республики. Сейчас удельный вес занятых в туризме в численности занятого населения в Бурятии составляет всего 0,6% (2,3 тыс. чел.). При проведении прогноза  мы делали следующие допущения: убыль населения в Бурятии сохраниться на уровне 2004 года и составит 0,7% в год, уровень безработицы в Бурятии будет находиться на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среднероссийском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уровне 2005 г. – 6,7%.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Рост производительности труда в данных отраслях будет соответствовать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среднероссийскому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показателю и составит 4% в год. Средняя численность персонала в туристическом секторе в 2026 году будет составлять 0,8 человек на 100 туристических прибытий.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К 2026 г. число занятых в туристическом секторе составит более 50 тыс. человек. Кроме того, увеличение доходов населения повлечет за собой рост емкости потребительского рынка республики и в целом качества жизни. Вклад туризма и смежных отраслей в занятость региона составит в 2026 г. 9,7%.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Для организации работы по ОЭЗ Правительством Республики разработаны меры: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В настоящее время в республике разработан план первоочередных действий по реализации проекта создания туристско-рекреационной особой экономической зоны «Байкал». Он включает 4 блока вопросов: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организационные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, финансовые, планировочные, кадровые. 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Часть мероприятий уже начала реализовываться в этом году: это проведение переговоров с потенциальными резидентами, включение на 2007 год в республиканский бюджет затрат на создание зоны в сумме 192 млн. руб., правительство Республики Бурятия приняло участие в различных форумах и конференциях с целью продвижения ОЭЗ. 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lastRenderedPageBreak/>
        <w:t xml:space="preserve">Проведена работа по вопросам улучшения подготовки кадров туристского профиля в ВУЗах и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СУЗах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республики, внедрению новых учебных программ, увеличению набора студентов на соответствующие специальности. По заказу Правительства Республики компания «Бауман 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Инновейшн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» выполняет работу «Стимулирование экономического развития Республики Бурятия через развитие приоритетных кластеров» на примере кластера «Туризм».</w:t>
      </w:r>
    </w:p>
    <w:p w:rsidR="00EA4077" w:rsidRPr="003D1A6B" w:rsidRDefault="00EA4077" w:rsidP="00EA4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В случае положительного итога конкурса в ближайшее время предполагается реализация следующих мероприятий: внесение изменений в действующее законодательство и разработка новых законопроектов; объявление конкурсов на разработку ПСД; разработка перспективного плана развития и порядка финансирования; проведение маркетинговых исследований. Также запланировано проведение рекламных туров, в частности тура «Восточное кольцо», проходящего через Японию, Южную Корею, Монголию, Республику Бурятия, </w:t>
      </w:r>
      <w:proofErr w:type="gram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Приморский</w:t>
      </w:r>
      <w:proofErr w:type="gram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 и Хабаровский края. Решение о проведении этого тура было принято в сентябре 2006 года на Всемирной выставке «</w:t>
      </w:r>
      <w:proofErr w:type="spellStart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>Джатта</w:t>
      </w:r>
      <w:proofErr w:type="spellEnd"/>
      <w:r w:rsidRPr="003D1A6B">
        <w:rPr>
          <w:rFonts w:ascii="Times New Roman" w:eastAsia="Times New Roman" w:hAnsi="Times New Roman" w:cs="Times New Roman"/>
          <w:color w:val="000093"/>
          <w:sz w:val="28"/>
          <w:szCs w:val="28"/>
          <w:shd w:val="clear" w:color="auto" w:fill="FAFBFF"/>
        </w:rPr>
        <w:t xml:space="preserve">» в Японии. Проведение зонирования территории зоны. Планируется начать межевание и перевод земельных участков, разработку и утверждение проекта планировки территории и подготовку квалифицированных кадров. </w:t>
      </w:r>
    </w:p>
    <w:p w:rsidR="00EA4077" w:rsidRPr="003D1A6B" w:rsidRDefault="00EA4077" w:rsidP="00EA40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i/>
          <w:iCs/>
          <w:color w:val="000093"/>
          <w:sz w:val="28"/>
          <w:szCs w:val="28"/>
          <w:shd w:val="clear" w:color="auto" w:fill="FAFBFF"/>
        </w:rPr>
        <w:t xml:space="preserve"> По материалам районной администрации </w:t>
      </w:r>
    </w:p>
    <w:p w:rsidR="00EA4077" w:rsidRPr="003D1A6B" w:rsidRDefault="00EA4077" w:rsidP="00EA40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shd w:val="clear" w:color="auto" w:fill="FAFBFF"/>
        </w:rPr>
      </w:pPr>
      <w:r w:rsidRPr="003D1A6B">
        <w:rPr>
          <w:rFonts w:ascii="Times New Roman" w:eastAsia="Times New Roman" w:hAnsi="Times New Roman" w:cs="Times New Roman"/>
          <w:i/>
          <w:iCs/>
          <w:color w:val="000093"/>
          <w:sz w:val="28"/>
          <w:szCs w:val="28"/>
          <w:shd w:val="clear" w:color="auto" w:fill="FAFBFF"/>
        </w:rPr>
        <w:t>и  «</w:t>
      </w:r>
      <w:proofErr w:type="spellStart"/>
      <w:r w:rsidRPr="003D1A6B">
        <w:rPr>
          <w:rFonts w:ascii="Times New Roman" w:eastAsia="Times New Roman" w:hAnsi="Times New Roman" w:cs="Times New Roman"/>
          <w:i/>
          <w:iCs/>
          <w:color w:val="000093"/>
          <w:sz w:val="28"/>
          <w:szCs w:val="28"/>
          <w:shd w:val="clear" w:color="auto" w:fill="FAFBFF"/>
        </w:rPr>
        <w:t>Восток-Телеинформ</w:t>
      </w:r>
      <w:proofErr w:type="spellEnd"/>
      <w:r w:rsidRPr="003D1A6B">
        <w:rPr>
          <w:rFonts w:ascii="Times New Roman" w:eastAsia="Times New Roman" w:hAnsi="Times New Roman" w:cs="Times New Roman"/>
          <w:i/>
          <w:iCs/>
          <w:color w:val="000093"/>
          <w:sz w:val="28"/>
          <w:szCs w:val="28"/>
          <w:shd w:val="clear" w:color="auto" w:fill="FAFBFF"/>
        </w:rPr>
        <w:t xml:space="preserve">». </w:t>
      </w:r>
    </w:p>
    <w:p w:rsidR="00EA4077" w:rsidRPr="003D1A6B" w:rsidRDefault="00EA4077">
      <w:pPr>
        <w:rPr>
          <w:rFonts w:ascii="Times New Roman" w:hAnsi="Times New Roman" w:cs="Times New Roman"/>
          <w:sz w:val="28"/>
          <w:szCs w:val="28"/>
        </w:rPr>
      </w:pPr>
    </w:p>
    <w:p w:rsidR="00EA4077" w:rsidRPr="003D1A6B" w:rsidRDefault="00EA4077">
      <w:pPr>
        <w:rPr>
          <w:rFonts w:ascii="Times New Roman" w:hAnsi="Times New Roman" w:cs="Times New Roman"/>
          <w:sz w:val="28"/>
          <w:szCs w:val="28"/>
        </w:rPr>
      </w:pPr>
    </w:p>
    <w:p w:rsidR="00EA4077" w:rsidRPr="003D1A6B" w:rsidRDefault="00EA4077">
      <w:pPr>
        <w:rPr>
          <w:rFonts w:ascii="Times New Roman" w:hAnsi="Times New Roman" w:cs="Times New Roman"/>
          <w:sz w:val="28"/>
          <w:szCs w:val="28"/>
        </w:rPr>
      </w:pPr>
    </w:p>
    <w:p w:rsidR="00EA4077" w:rsidRPr="003D1A6B" w:rsidRDefault="00EA4077">
      <w:pPr>
        <w:rPr>
          <w:rFonts w:ascii="Times New Roman" w:hAnsi="Times New Roman" w:cs="Times New Roman"/>
          <w:sz w:val="28"/>
          <w:szCs w:val="28"/>
        </w:rPr>
      </w:pPr>
    </w:p>
    <w:sectPr w:rsidR="00EA4077" w:rsidRPr="003D1A6B" w:rsidSect="003D1A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077"/>
    <w:rsid w:val="001E3143"/>
    <w:rsid w:val="00297DD6"/>
    <w:rsid w:val="003D1A6B"/>
    <w:rsid w:val="00EA4077"/>
    <w:rsid w:val="00EF2136"/>
    <w:rsid w:val="00F0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4"/>
  </w:style>
  <w:style w:type="paragraph" w:styleId="2">
    <w:name w:val="heading 2"/>
    <w:basedOn w:val="a"/>
    <w:link w:val="20"/>
    <w:uiPriority w:val="9"/>
    <w:qFormat/>
    <w:rsid w:val="00EA4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0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uiPriority w:val="99"/>
    <w:semiHidden/>
    <w:unhideWhenUsed/>
    <w:rsid w:val="00EA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407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A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40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4077"/>
    <w:rPr>
      <w:b/>
      <w:bCs/>
    </w:rPr>
  </w:style>
  <w:style w:type="paragraph" w:styleId="a6">
    <w:name w:val="Normal (Web)"/>
    <w:basedOn w:val="a"/>
    <w:uiPriority w:val="99"/>
    <w:semiHidden/>
    <w:unhideWhenUsed/>
    <w:rsid w:val="00EA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077"/>
    <w:rPr>
      <w:rFonts w:ascii="Tahoma" w:hAnsi="Tahoma" w:cs="Tahoma"/>
      <w:sz w:val="16"/>
      <w:szCs w:val="16"/>
    </w:rPr>
  </w:style>
  <w:style w:type="character" w:customStyle="1" w:styleId="newspodr1">
    <w:name w:val="newspodr1"/>
    <w:basedOn w:val="a0"/>
    <w:rsid w:val="00EA4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2016-03-25T07:03:00Z</dcterms:created>
  <dcterms:modified xsi:type="dcterms:W3CDTF">2016-03-25T07:26:00Z</dcterms:modified>
</cp:coreProperties>
</file>